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 with 100% case triage completion rate.</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with 95% accurate claim investigation results.</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 with 99% compliant case documentation quality.</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by 30%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supporting bulk CSV input/output for incident response workflows.</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and Nessus API.</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