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risk prioritization, SLA discipline,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multi-source risk assessment pipeline: submits vendor domains and IPs to VirusTotal, AbuseIPDB, and URLScan.io, cross-referencing WHOIS, DNS, and SSL certificate data for third-party due diligence and threat intelligence.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detecting typosquatting variants and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pipeline integrating Nessus and OpenVAS APIs in Python, generating audit-ready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 security controls against regulatory requirements, documenting vulnerability-to-remediation audit trails with SQL injection evidence and parameterised query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cyber,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