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using structured workflows for timely decision-making and efficient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 for improved case accuracy and reduced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identify recurring fraud patterns, flagged them early, and reduced repeat-issue investigation time before escalation, demonstrating proactive security awareness.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ensuring transparent and accountable case management and decision-making processes.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requests; documented SQL injection exploit and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