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and flagging them early, which reduced repeat-issue investigation time before escalation and ensured timely corrective actions.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actions, ensuring transparency and accountability in case resolution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based on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