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audit-ready case documentation.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flagging them early to reduce repeat-issue investigation time before escalation, with a significant impact on efficiency.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notes, maintaining compliance tracking and decision trails.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VirusTotal API, AbuseIPDB, and WHOIS for brand-impersonation analysis and live DNS resolution.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 using Python, theHarvester, and Telegram bot for threat intelligence and incident response workflows.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to flag new CVEs, and tracked patch compliance using Python, Nessus, and OpenVAS.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