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applying structured compliance tracking and escalation workflow, producing audit‑ready case logs.</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to conduct root cause analysis, identified policy violations and anomalous patterns, and escalated findings to senior reviewers, generating actionable compliance reports.</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Documented investigation findings, decisions, evidence notes, and corrective actions in audit‑ready case files, establishing a control evidence repository for compliance audits.</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Spotted recurring fraud patterns across 200+ weekly cases, flagged early and reduced repeat‑issue investigation time before escalation, creating a proactive risk‑detection register.</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 producing an enriched threat intelligence report.</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Implemented a typosquatting domain detector in Python that generates character‑substitution variants of brand domains and checks live DNS resolution for brand‑impersonation analysis, delivering a list of identified typosquatting domains.</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a Telegram bot interface written in Python that enables analysts to submit URLs for live IOC enrichment, supports bulk CSV input and output for incident response workflows and incorporates OSINT enrichment via theHarvester for domain profiling, resulting in a live IOC enrichment interface.</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vulnerability assessment pipeline in Python that integrates Nessus and OpenVAS REST APIs, generates CVE reports classified by CVSS severity and enriches them with EPSS context from the FIRST.org API, creating a comprehensive vulnerability report.</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SQL injection exploit details with parameterised query remediation, producing a detailed web security assessment.</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using Bash and cron, implemented delta‑scan logic to flag newly discovered CVEs and organized patch compliance tracking evidence, delivering a continuous patch compliance tracking record.</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