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actions, maintaining audit-ready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resulting in enhanced case efficiency.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