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and maintained weekly inventory reimbursement case triage workflow, ensuring timely and accurate policy eligibility assessments for the LGBTQ+ Business Community.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patterns, escalating findings to senior reviewers for further investigation.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establish a clear evidence chain-of-custody for the Business Community.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VirusTotal, AbuseIPDB, and URLScan.io to submit suspicious URLs/IPs, cross-referencing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flagging new CVEs and calculating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