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control evidence, compliance tracking, and decision trails.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multi-source risk assessment pipeline: submits vendor domains and IPs to VirusTotal, AbuseIPDB, and URLScan.io, cross-referencing WHOIS, DNS, and SSL certificate details for due diligence.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domain reputation assessment tool detecting typosquatting variants and live DNS resolution for vendor and partner ecosystem review.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for automated risk assessment, supporting bulk CSV input/output and OSINT enrichment via theHarvester for domain profiling.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automated vulnerability assessment pipeline integrating Nessus and OpenVAS APIs in Python, generating CVE reports with EPSS context from FIRST.org API and CVSS severity classification.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compliance checker, validating web app security controls against regulatory requirements, documenting vulnerability-to-remediation audit trails.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compliance scan scheduling via Bash and cron; built delta-scan logic to track remediation progress and organize audit evidence for patch compliance (remediation tracking) review.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