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13" w:after="1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Jun. 2024 – Jan. 2026</w:t>
      </w:r>
    </w:p>
    <w:p w14:paraId="28FF3AAE" w14:textId="12E456F9" w:rsidR="00F85316" w:rsidRPr="003963D1" w:rsidRDefault="00000000">
      <w:pPr>
        <w:tabs>
          <w:tab w:val="right" w:pos="10800"/>
        </w:tabs>
        <w:spacing w:before="8" w:after="0"/>
        <w:rPr>
          <w:rFonts w:ascii="Source Sans Pro Light" w:hAnsi="Source Sans Pro Light"/>
          <w:i/>
          <w:iCs/>
        </w:rPr>
      </w:pPr>
      <w:r w:rsidRPr="00561791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 w:rsidRPr="002079C6">
        <w:rPr>
          <w:rFonts w:ascii="Source Sans Pro" w:eastAsia="Source Sans Pro" w:hAnsi="Source Sans Pro" w:cs="Source Sans Pro"/>
          <w:i/>
          <w:iCs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translating high-volume case review into suspicious pattern detection and investigation handoffs.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 for pattern review and investigation handoffs.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 with findings, decisions, evidence notes, and corrective actions aligned to evidence documentation and decision trails.</w:t>
      </w:r>
    </w:p>
    <w:p w14:paraId="5E4555B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 and flagged repeat issues early, reducing investigation cycles before escalation.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 using Python, ingesting Splunk alerts, enriching with VirusTotal API, and dispatching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</w:p>
    <w:p w14:paraId="50EFC0D0" w14:textId="77777777" w:rsidR="00F85316" w:rsidRDefault="00F85316">
      <w:pPr>
        <w:spacing w:before="13" w:after="1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Pr="003963D1">
        <w:rPr>
          <w:rFonts w:ascii="Source Sans Pro Light" w:eastAsia="Source Sans Pro" w:hAnsi="Source Sans Pro Light" w:cs="Source Sans Pro"/>
          <w:i/>
          <w:iCs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automated vulnerability assessment pipeline integrating Nessus and OpenVAS REST APIs in Python; generated CVE reports classified by CVSS severity (vulnerability prioritisation) and EPSS context from the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app vulnerabilities, including injection, auth, and SSRF; documented SQL injection exploit remediation.</w:t>
      </w:r>
    </w:p>
    <w:p w14:paraId="24F5657B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7542F506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24BEE31D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4A1B93A5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1EFBFF0E" w14:textId="77777777" w:rsidR="00F85316" w:rsidRDefault="00000000">
      <w:pPr>
        <w:spacing w:before="37" w:after="3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api, cve, aws, seller-claim anomalies -&gt; suspicious pattern detection and investigation handoffs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13" w:after="1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7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2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079C6"/>
    <w:rsid w:val="0024564C"/>
    <w:rsid w:val="00257727"/>
    <w:rsid w:val="00367EC3"/>
    <w:rsid w:val="003963D1"/>
    <w:rsid w:val="004C7FB6"/>
    <w:rsid w:val="00561791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A54E64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2026-05-07T06:30:00Z</dcterms:modified>
</cp:coreProperties>
</file>