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ensuring risk management and compliance.</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Analyzed root cause of seller claims, documenting evidence notes and corrective actions in audit-ready case notes, maintaining control evidence and decision trails.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Detected recurring fraud patterns across 200+ weekly cases, flagging them early to reduce repeat-issue investigation time before escalation, demonstrating risk prioritization and SLA discipline.</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(web application security) automated web checker using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 using Nessus and OpenVAS.</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management</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