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 and reduced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leading to improved case resolution and reduced risk exposure.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transparency and accountability in case resolution processes.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Designed and deployed Splunk SIEM with SPL correlation (detection engineering) searches for brute-force detection, lateral movement, and privilege escalation; mapped Tactics, Techniques, and Procedures (TTPs) to MITRE ATT&amp;CK (TTP mapping) and wrote a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an automated detection pipeline using Python, which ingests Splunk alerts, runs Indicator of Compromise (IOC) enrichment via VirusTotal API (threat intelligence feeds),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(detection-as-code), a vendor-neutral format used by enterprise Security Operation Centers (SOCs);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a typosquatting (brand impersonation detection)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a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