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&amp; policy eligibility, mirroring the structured alert triage &amp;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&amp; anomalous patterns; escalated findings to senior reviewers, demonstrating investigative instincts central to SOC &amp;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&amp; corrective actions, establishing the evidence chain-of-custody discipline required for security incident reporting &amp;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&amp;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using VirusTotal, AbuseIPDB, &amp; URLScan.io; cross-referenced WHOIS registration age, DNS records, &amp;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&amp;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&amp; includes OSINT enrichment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&amp; OpenVAS REST APIs in Python; generates CVE reports classified by CVSS severity; implemented EPSS scoring from FIRST.org API to prioritise by actual exploit probability.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&amp; SSRF vulnerabilities; documented SQL injection exploit &amp;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&amp; cron; built delta-scan logic to flag newly discovered CVEs &amp; calculate remediation SLA deadlines (Critical=24hrs, High=7 days, Medium=30 days) for patch compliance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