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escalated findings to senior reviewers for incident response and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documented findings in audit-ready case documentation for compliance and risk assessment.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and contributing to risk management and incident response.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evidence, and corrective actions for compliance and risk assessment.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notifications, reducing mean time to triage by 50%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assessment,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