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improving compliance tracking and decision trails.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flagged them early, and reduced repeat-issue investigation time before escalation, enhancing compliance and audit-readiness.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 notes, and corrective actions, ensuring control evidence and compliance tracking.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details for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 audit trails and remediation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