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AppSec inventory reimbursement cases by severity and policy eligibility, mirroring the structured alert triage and escalation workflow used in SOC Tier 1 analyst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 to identify policy violations and anomalous patterns; escalated findings to senior reviewers, demonstrating investigative instincts central to SOC and fraud analyst operations.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 required for security incident reporting and IT audit.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Collaborated with compliance and risk teams to enforce regulatory policies, identify process control gaps, and implement corrective actions — building operational instincts directly applicable to GRC analyst, risk management, and compliance monitoring roles.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&amp;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generates CVE reports classified by CVSS severity.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that sends crafted HTTP requests to detect injection, broken auth, and SSRF vulnerabilities; documented SQL injection exploit and parameterised query remediation.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calculate remediation SLA deadlines (Critical=24hrs, High=7 days, Medium=30 days) for patch compliance tracking.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&amp;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 (index=* failed | stats count by src_ip), lateral movement, and privilege escalation; mapped TTPs to MITRE ATT&amp;CK (T1110, T1078, T1059).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runs IOC enrichment via VirusTotal API, and dispatches Telegram notifications with severity classification.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(vendor-neutral format used by enterprise SOCs); performed TCP/IP analysis in Wireshark to detect SYN scans, DNS tunnelling, and plaintext credential exposure on unencrypted sessions.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