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SLA discipline and 24x7 SOC shift requirements.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support incident reporting and compliance.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integrating VirusTotal, AbuseIPDB, and URLScan.io for unified phishing probability scoring.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incident response, risk assessment,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