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notes.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Analyst at OpenFX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audit-ready documentation for multi-API threat intelligence pipeline: submits suspicious data to VirusTotal, AbuseIPDB, and URLScan.io, cross-referencing WHOIS, DNS, and SSL details for compliance.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control validation for typosquatting detection, generating domain variants and checking live DNS resolution for brand-impersonation analysis and compliance tracking.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Analyst at OpenFX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Validated compliance tracking evidence through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OWASP Top 10 compliance tracking evidence, detecting injection, auth, and SSRF vulnerabilities, and remediated SQL injection exploits with parameterised queries.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Scheduled automated scans via Bash and cron; built delta-scan logic to flag newly discovered CVEs and organize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