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prioritizing risk indicators and evidence review to inform eligibility decisions.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claims, identifying policy violations and anomalous patterns, and escalated findings to senior reviewers for risk assessment and decision-making.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corrective actions, and evidence notes to support risk analysis and regulatory compliance.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them early, reducing repeat-issue investigation time before escalation and minimizing risk exposure.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URLScan.io and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analysis, analysis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