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audit‑ready decision logs.</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compliance escalation reports.</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investigation findings, evidence notes, and corrective actions in audit‑ready case files, creating a control evidence repository for compliance tracking.</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and AbuseIPDB, cross‑references WHOIS registration age, DNS records and SSL details, and outputs a structured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domain detector that generates character‑substitution variants of brand domains, checks live DNS resolution for each variant, and produces a comprehensive typosquatting detection list.</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that accepts URLs from analysts, enriches them with OSINT data via theHarvester, supports bulk CSV input and output, and returns an enriched IOC payload for incident response workflows.</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 Python that integrates Nessus and OpenVAS REST APIs, retrieves CVE data from the NVD API, adds EPSS context from the FIRST.org API, and generates a consolidated CVE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that sends crafted HTTP requests to detect injection, broken authentication and SSRF vulnerabilities, documents findings in a structured vulnerability assessment file.</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with Bash and cron, added delta‑scan logic to flag newly discovered CVEs, and organized patch compliance tracking evidence in a centralized repository.</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