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following structured case triage, escalation, and decision workflows.</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root cause of seller claims, identified policy violations and anomalous patterns, and escalated findings to senior reviewers.</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supporting bulk CSV input/output for incident response workflows and including OSINT enrichment via theHarvester for domain profiling using Python, Telegram bot, and WHOIS.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documenting SQL injection exploit and parameterised query remediation using Python, Bash, and Nessus.</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