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triage, escalation, and decision workflows, achieving consistent case triage throughput.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producing detailed escalation reports.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audit‑ready documentation of investigation findings, decisions, evidence notes, and corrective actions, creating a comprehensive audit log for compliance.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cases, flagged them early and reduced repeat‑issue investigation time before escalation, generating timely pattern alerts.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brute‑force, lateral movement and privilege escalation detection, mapped TTPs to MITRE ATT&amp;CK framework and generated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 Python script that ingests Splunk alerts, enriches them with MITRE ATT&amp;CK context and assigns severity classification, then writes the enriched data to an audit log.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Translated detection logic into Sigma rules for vendor‑neutral use, performed TCP/IP analysis in Wireshark to identify SYN scans and DNS tunnelling, and documented the findings in a detection handbook.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 Python pipeline that submits suspicious URLs and IPs to VirusTotal API and AbuseIPDB, cross‑references WHOIS registration data, and outputs a consolidated enrichment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a typosquatting detector in Python that generates character‑substitution variants of brand domains, checks live DNS resolution and logs potential impersonation entries in a detection list.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 Telegram bot written in Python that accepts analyst‑submitted URLs, performs bulk IOC enrichment via VirusTotal and WHOIS lookups, and presents the results in an enrichment dashboard.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