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reducing repeat-issue investigation time.</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ensuring compliance tracking and decision trails.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