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resulting in consistent case routing.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producing actionable escalation reports.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files with investigation findings, evidence notes, and corrective actions, creating a searchable repository used for compliance reviews.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 detection, lateral movement and privilege escalation, mapped TTPs to MITRE ATT&amp;CK and produced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automation that consumes Splunk alerts, enriches indicators using MITRE ATT&amp;CK knowledge base, and generates structured alert tickets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detection logic into Splunk queries, used Wireshark and Nmap to analyze TCP/IP traffic for SYN scans, DNS tunnelling and plaintext credential exposure, and documented findings in a detection handbook.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pipeline that submits URLs and IPs to VirusTotal API and AbuseIPDB, then enriches results with WHOIS registration data, and outputs a consolidated threat intelligence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Python script that generates character‑substitution variants of brand domains, queries WHOIS records for each variant, and logs potential typosquatting candidates in a CSV file.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Telegram bot in Python that accepts URL submissions, retrieves IOC data from VirusTotal API and AbuseIPDB, enriches with WHOIS information, and returns results to the analyst.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