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control evidence, compliance tracking, and decision trails.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resulting in timely corrective actions.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and flagging anomalies early to reduce repeat-issue investigation time before escalation, with 200+ cases reviewed weekly.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findings, decisions, evidence, and corrective actions, maintaining a compliant case history with 50+ cases weekly.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