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resolution and reduced risk exposure.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records, ensuring transparency and accountability.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them early and reducing repeat-issue investigation time before escalation, resulting in enhanced case efficiency and reduced risk.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vulnerabilities, including injection, auth, and SSRF, and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