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supporting compliance management, producing compliant case routing log.</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creating actionable compliance evidence.</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files with investigation findings, decisions, evidence notes, and corrective actions, establishing control evidence for compliance tracking.</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to generate a phishing analysis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to produce a brand‑impersonation detection list.</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in Python that enables analysts to submit URLs for live IOC enrichment, supports bulk CSV input and output, and enriches domain profiles with theHarvester data for incident response documentation.</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 Python that integrates Nessus and OpenVAS REST APIs, pulls CVE data from the NVD API and EPSS context from the FIRST.org API to produce a classified CVE report.</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documents findings in a structured exploit report.</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with Bash and cron, added delta‑scan logic to flag newly discovered CVEs and generate patch compliance tracking evidence.</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