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an audit‑ready case queue.</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compliance escalation reports.</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investigation findings, decisions, evidence notes, and corrective actions in audit‑ready case files, creating a control‑evidence repository.</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multi-API threat intelligence pipeline in Python that submits suspicious URLs and IPs to VirusTotal, AbuseIPDB, and URLScan.io and cross-references WHOIS registration age, DNS records, and SSL details for phishing analysis, producing a consolidated phishing analysis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for brand‑impersonation analysis, delivering a curated typosquatting detection list.</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in Python enabling analysts to submit URLs for live IOC enrichment, supporting bulk CSV input and output for incident response workflows and adding OSINT enrichment via theHarvester for domain profiling, resulting in an enriched IOC package.</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 Python that integrates Nessus and OpenVAS REST APIs and generates CVE reports classified by CVSS severity and EPSS context from the FIRST.org API, creating a comprehensive vulnerability assessment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automated web checker in Python that sends crafted HTTP requests to detect injection, broken authentication, and SSRF vulnerabilities and documents SQL injection exploit and parameterised query remediation, producing a detailed web security findings document.</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with Bash and cron, added delta‑scan logic to flag newly discovered CVEs and organize patch compliance tracking evidence, generating a patch compliance evidence bundle.</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