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informed proactive security measures.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minimize financial losses and optimize security protocols.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secure and transparent record of investigations and resolutions.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achieved 95% reduction in mean time to triage.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classification, reducing MTT by 30% and increasing accuracy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exposure, achieving 99% threat detection accuracy.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with EPSS scoring from FIRST.org API for prioritization, reducing patching time by 90%.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SSRF); achieved 100% compliance with OWASP guidelines.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 for 95% patching time reduction.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