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risk severity and policy eligibility, reducing average case resolution time by 30%.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 through risk identification and control gap analysis, resulting in 25% decrease in repeat-issue cases.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audit-ready case documentation: investigation findings, decisions, evidence notes, corrective actions, ensuring 100% compliance with audit standards.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 and reducing repeat-issue investigation time by 40% through escalation priorities and policy-based risk triage.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multi-API threat intelligence pipeline using Python, VirusTotal API, AbuseIPDB, and URLScan.io, achieving 95% phishing detection accuracy.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Python-based typosquatting detector with 99% detection rate, generating domain variants and checking live DNS resolution for brand 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using Python, enabling analysts to submit URLs for IOC enrichment, supporting CSV input/output for incident response workflows and OSINT enrichment via theHarvester.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pipeline using Python, integrating Nessus and OpenVAS APIs, generating CVE reports with CVSS severity and EPSS scoring from FIRST.org API, achieving 90% accuracy.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using Python, detecting injection, auth, and SSRF vulnerabilities, reducing false positives by 25%.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using Bash and cron, built delta-scan logic to flag new CVEs, calculated remediation SLA deadlines (Critical=24hrs, High=7 days, Medium=30 days), achieving 98% compliance.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