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Utilized risk management and FRTB expertise to triage 50+ weekly inventory reimbursement cases by severity and policy eligibility, mirroring the structured alert triage and escalation workflow used in Risk Management and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reviewers, demonstrating investigative instincts central to Risk Management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audit, while applying Credit Risk and Counter Party Credit Risk knowledge.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pipeline: submits suspicious URLs/IPs to VirusTotal, AbuseIPDB, and URLScan.io simultaneously; cross-references WHOIS registration age, DNS records, and SSL details to produce a unified phishing probability score, leveraging OSINT and threat intelligence capabilities.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feeds, utilizing OSINT and phishing detection techniques.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(open-source intelligence) via theHarvester for domain profiling, enhancing threat intelligence and incident response capabilities.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freshers, applying Model Risk Management and vulnerability assessment expertise.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remediation, utilizing vulnerability scanning and patch prioritization techniques.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tracking, applying Market Risk and patch management expertise.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