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4" w:after="14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ensuring compliance with established guidelines and regulations.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 to identify policy violations and anomalous patterns, demonstrating investigative instincts essential for information security and risk management.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actions, ensuring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DNS resolution to catch brand-impersonation attacks before they reach threat feeds (T1110).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14" w:after="14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security, management, analysis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4" w:after="14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