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triage, escalation, and decision workflows to ensure compliance with GRC practice.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 to build a strong foundation in GRC practice.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 to support compliance tracking and control validation in GRC practice.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to enhance risk management in GRC practice.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