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4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2" w:after="3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4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2" w:after="3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4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for risk identification and threat detection, creating audit trails with SPL correlation searches for brute-force detection.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 and Splunk alerts.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TCP/IP analysis in Wireshark to detect SYN scans, DNS tunnelling, and plaintext credential exposure on unencrypted sessions, and wrote PICERL incident report with risk risk arena context.</w:t>
      </w:r>
    </w:p>
    <w:p w14:paraId="50EFC0D0" w14:textId="77777777" w:rsidR="00F85316" w:rsidRDefault="00F85316">
      <w:pPr>
        <w:spacing w:before="32" w:after="3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cron, and built delta-scan logic to track remediation progress and organize audit evidence for.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2" w:after="3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4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77" w:after="7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Analysis: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77" w:after="7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Compliance Tracking: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Investigation and Root Cause Ana: </w:t>
      </w:r>
      <w:r>
        <w:rPr>
          <w:rFonts w:ascii="Source Sans Pro" w:eastAsia="Source Sans Pro" w:hAnsi="Source Sans Pro" w:cs="Source Sans Pro"/>
          <w:sz w:val="19"/>
          <w:szCs w:val="19"/>
        </w:rPr>
        <w:t>policy violations, anomalous patterns, escalation procedures</w:t>
      </w:r>
    </w:p>
    <w:p w14:paraId="4A1B93A5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 and Threat Detection: </w:t>
      </w:r>
      <w:r>
        <w:rPr>
          <w:rFonts w:ascii="Source Sans Pro" w:eastAsia="Source Sans Pro" w:hAnsi="Source Sans Pro" w:cs="Source Sans Pro"/>
          <w:sz w:val="19"/>
          <w:szCs w:val="19"/>
        </w:rPr>
        <w:t>Splunk SIEM, Python, MITRE ATT&amp;CK, Sigma rules</w:t>
      </w:r>
    </w:p>
    <w:p w14:paraId="1EFBFF0E" w14:textId="77777777" w:rsidR="00F85316" w:rsidRDefault="00000000">
      <w:pPr>
        <w:spacing w:before="77" w:after="7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Vulnerability Assessment: </w:t>
      </w:r>
      <w:r>
        <w:rPr>
          <w:rFonts w:ascii="Source Sans Pro" w:eastAsia="Source Sans Pro" w:hAnsi="Source Sans Pro" w:cs="Source Sans Pro"/>
          <w:sz w:val="19"/>
          <w:szCs w:val="19"/>
        </w:rPr>
        <w:t>Nessus, OpenVAS, CVSS severity, EPSS context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2" w:after="3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4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