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4" w:after="14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50+ weekly inventory reimbursement cases by severity and policy eligibility, utilizing structured alert triage and escalation workflow used in security operations center.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 to establish evidence chain-of-custody discipline.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200+ weekly cases and flagged them early — cutting repeat-issue investigation time before escalation.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</w:p>
    <w:p w14:paraId="6240E619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to MITRE ATT&amp;CK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14" w:after="14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to produce a unified phishing probability score (EPSS 80).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live DNS resolution to catch brand-impersonation attacks.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Telegram bot interface for live IOC enrichment, supporting bulk CSV input/output and OSINT enrichment via theHarvester for domain profiling.</w:t>
      </w:r>
    </w:p>
    <w:p w14:paraId="3A497994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4" w:after="14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