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and escalated findings to senior reviewers for security risk assessment.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documented findings in audit-ready case documentation for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and maintained corrective actions for regulation.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vulnerability scanning and penetration testing.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CVEs, and calculated remediation SLA deadlines (Critical=24hrs, High=7 days, Medium=30 days).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 risk assessment, compliance, OWASP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