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83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41" w:after="41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83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root cause of seller claims, identified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audit-ready case records.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41" w:after="4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83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Splunk SIEM with SPL correlation searches for brute-force detection, lateral movement, and privilege escalation; mapped Tactics, Techniques, and Procedures to MITRE ATT&amp;CK and wrote a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41" w:after="41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 that submits suspicious URLs/IPs to VirusTotal, AbuseIPDB, and URLScan.io; cross-references WHOIS registration age, DNS records, and SSL details for phishing analysis.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domain detector generating character-substitution variants of brand domains and checking live DNS resolution for brand-impersonation analysis.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enrichment; supports bulk CSV input/output for incident response workflows and includes OSINT enrichment via theHarvester for domain profiling.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41" w:after="4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83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65" w:after="65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65" w:after="65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65" w:after="65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65" w:after="65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65" w:after="65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41" w:after="4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83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