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detailed, audit-ready case documentation recording investigation findings, decisions, evidence notes, and corrective actions for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