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thorough risk assessments for Licensed Entity compliance and Regulatory Audit, identifying areas of improvement and recommending mitigation strategies.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Led root cause analysis on seller claims to identify policy violations and anomalous patterns, demonstrating investigative instincts central to Risk Management and Compliance.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actions, ensuring evidence chain-of-custody discipline.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 (EPSS 85).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detector generating domain variants and checking live DNS resolution to catch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