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ensuring data quality and completeness checks, with audit-ready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patterns; escalated findings to senior reviewers for data compliance review.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in 200+ weekly cases, reducing repeat-issue investigation time through early flagging and documented evidence notes.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seller claims and identified policy exceptions, ensuring data governance and control review; maintained data traceability by documenting investigation findings and decisions.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to produce a unified phishing probability score (EPSS 80).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enforce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