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6" w:after="2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high-risk cases by severity and policy eligibility, applying structured case review and escalation decisions, and identifying potential risk exposure.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 to identify policy violations, anomalous patterns, and cases requiring senior reviewer escalation, and mitigating operational risk.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case trends to flag operational risk indicators and reduce repeated investigation delays.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findings, decisions, and corrective actions to support risk tracking and review.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6" w:after="2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6" w:after="2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