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 to identify potential fraud patterns.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and escalated findings to senior reviewers to prevent repeat-issue investigation time.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to ensure transparency and accountability in case resolution.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 to reduce repeat-issue investigation time and prevent potential financial losses.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 before they reach threat feeds (EPSS 7.5, T1110).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UAT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