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5" w:after="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reducing risk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escalating risk findings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risk prioritization, SLA discipline, and remediation tracking.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cases, reducing repeat-issue investigation time and risk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for threat detection (anomaly detection) and incident response in risk arena, creating audit trails with decision notes and corrective actions, resulting in a comprehensive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SOAR (security orchestration and automation)-style detection pipeline using Python and Sigma rules (detection-as-code), performing TCP/IP analysis for detecting security threats and control gaps, resulting in a mapped MITRE ATT&amp;CK framework.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detection pipeline with SPL correlation (detection engineering) searches for brute-force detection, lateral movement, and privilege escalation, resulting in a PICERL incident report with risk identification and escalation priorities.</w:t>
      </w:r>
    </w:p>
    <w:p w14:paraId="50EFC0D0" w14:textId="77777777" w:rsidR="00F85316" w:rsidRDefault="00F85316">
      <w:pPr>
        <w:spacing w:before="5" w:after="5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Generated audit-ready CVE reports with CVSS severity (vulnerability prioritisation) and EPSS context, creating a risk-based vulnerability assessment for risk arena investors in Bengaluru, Karnataka, resulting in a prioritized remediation plan.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compliance checker for web application security, validating security controls against regulatory requirements and identifying risk, resulting in a compliance report with risk triage and remediation tracking.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compliance scan scheduling via Bash and cron, tracking remediation progress and organizing audit evidence for patch compliance (remediation tracking) review, resulting in a comprehensive risk management report with control gap analysis.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1" w:after="3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Analysis: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31" w:after="3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Compliance Tracking: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31" w:after="3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Investigation and Remediation: </w:t>
      </w:r>
      <w:r>
        <w:rPr>
          <w:rFonts w:ascii="Source Sans Pro" w:eastAsia="Source Sans Pro" w:hAnsi="Source Sans Pro" w:cs="Source Sans Pro"/>
          <w:sz w:val="19"/>
          <w:szCs w:val="19"/>
        </w:rPr>
        <w:t>root cause analysis, anomaly detection, corrective actions</w:t>
      </w:r>
    </w:p>
    <w:p w14:paraId="4A1B93A5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 and Threat Detection: </w:t>
      </w:r>
      <w:r>
        <w:rPr>
          <w:rFonts w:ascii="Source Sans Pro" w:eastAsia="Source Sans Pro" w:hAnsi="Source Sans Pro" w:cs="Source Sans Pro"/>
          <w:sz w:val="19"/>
          <w:szCs w:val="19"/>
        </w:rPr>
        <w:t>Splunk SIEM, Python, Sigma rules, threat detection pipeline</w:t>
      </w:r>
    </w:p>
    <w:p w14:paraId="1EFBFF0E" w14:textId="77777777" w:rsidR="00F85316" w:rsidRDefault="00000000">
      <w:pPr>
        <w:spacing w:before="31" w:after="3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Vulnerability Assessment: </w:t>
      </w:r>
      <w:r>
        <w:rPr>
          <w:rFonts w:ascii="Source Sans Pro" w:eastAsia="Source Sans Pro" w:hAnsi="Source Sans Pro" w:cs="Source Sans Pro"/>
          <w:sz w:val="19"/>
          <w:szCs w:val="19"/>
        </w:rPr>
        <w:t>Nessus, OpenVAS, CVSS severity, patch prioritization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