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risk prioritization and SLA discipline, producing audit‑ready triage logs.</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escalating findings to senior reviewers for risk management decisions, generating escalation tickets.</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investigation findings, evidence notes, and corrective actions in audit‑ready case files, creating control evidence for compliance tracking and decision trails.</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multi-API threat intelligence pipeline in Python that submits suspicious URLs and IPs to VirusTotal, AbuseIPDB and URLScan.io and cross‑references WHOIS registration age, DNS records and SSL details to produce a phishing analysis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a typosquatting domain detector in Python that generates character‑substitution variants of brand domains, resolves them via live DNS queries and outputs a typosquatting detection list for brand‑impersonation analysis.</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a Telegram bot interface written in Python that accepts analyst‑submitted URLs, enriches them with OSINT data from theHarvester and returns an enriched IOC package supporting bulk CSV input and output for incident response workflows.</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an automated vulnerability assessment pipeline in Python that integrates Nessus and OpenVAS REST APIs, pulls CVE data from the NVD API and adds EPSS context from the FIRST.org API to generate a classified CVE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an OWASP Top 10 automated web checker in Python that sends crafted HTTP requests to detect injection, broken authentication and SSRF vulnerabilities and documents findings in a SQL injection exploit and remediation guide.</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with Bash scripts and cron, added delta‑scan logic to flag newly discovered CVEs and organized patch compliance tracking evidence in a centralized repository.</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