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reviewers, improving case resolution and reducing policy violations.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flagging them early and reducing repeat-issue investigation time before escalation, resulting in enhanced case efficiency and reduced risk.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