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escalation, and decision workflows, establishing a standardized triage protocol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a detailed escalation report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case documentation capturing investigation findings, decisions, evidence notes, and corrective actions, creating a compliant case archive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 detection, lateral movement and privilege escalation and mapped TTPs to MITRE ATT&amp;CK in a detailed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enriches IOCs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 neutral use and performed TCP/IP analysis in Wireshark to identify SYN scans, DNS tunnelling and plaintext credential exposure.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multi‑API threat intelligence pipeline in Python that submits suspicious URLs and IPs to VirusTotal and AbuseIPDB and cross‑references WHOIS registration age, DNS records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that generates character‑substitution variants of brand domains and checks live DNS resolution for brand 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that allows analysts to submit URLs for live IOC enrichment, supports bulk CSV input and output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