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2" w:after="3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 and corrective actions in audit-ready case notes for compliance tracking.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 to identify policy risk and validate decisions against control criteria.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reimbursement cases for policy exceptions, flagging risk indicators and evidence gaps.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weekly cases by severity and eligibility, supporting audit documentation and control review.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32" w:after="3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32" w:after="3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32" w:after="3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with EPSS scoring from FIRST.org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32" w:after="3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management,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2" w:after="3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