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 that submits suspicious URLs/IPs to VirusTotal, AbuseIPDB, and URLScan.io; cross-references WHOIS registration age, DNS records, and SSL details for phishing analysis.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brand domains and checking live DNS resolution for brand-impersonation analysis.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enrichment; supports bulk CSV input/output for incident response workflows and includes OSINT enrichment via theHarvester for domain profiling.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