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and reduced risk exposure.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 and reducing repeat-issue investigation time before escalation, resulting in enhanced case efficiency and reduced risk.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