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and escalated findings to senior reviewers, leading to informed decision-making and policy refinement.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 in case resolution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